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43001-177/2021</w:t>
            </w:r>
            <w:r w:rsidR="007B6E0D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2431-21-000681/0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8658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usada in nasipnih brežin »Pavlova vas« na cesti R3-677/2202 Pišece - Zg. Pohanca - Krško od km 0,730 do km 1,00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B6E0D" w:rsidRPr="007B6E0D" w:rsidRDefault="007B6E0D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B6E0D">
        <w:rPr>
          <w:rFonts w:ascii="Tahoma" w:hAnsi="Tahoma" w:cs="Tahoma"/>
          <w:b/>
          <w:color w:val="333333"/>
          <w:sz w:val="22"/>
          <w:szCs w:val="22"/>
        </w:rPr>
        <w:t>JN002759/2021-W01 - D-51/2021; Sanacija usada in nasipnih brežin "Pavlova vas" na cesti R3-677/2202 Pišece - Zg. Pohanca - Krško od km 0,730 do km 1,00, datum objave: 03.05.2021</w:t>
      </w:r>
    </w:p>
    <w:p w:rsidR="007B6E0D" w:rsidRPr="007B6E0D" w:rsidRDefault="007B6E0D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B6E0D">
        <w:rPr>
          <w:rFonts w:ascii="Tahoma" w:hAnsi="Tahoma" w:cs="Tahoma"/>
          <w:b/>
          <w:color w:val="333333"/>
          <w:sz w:val="22"/>
          <w:szCs w:val="22"/>
        </w:rPr>
        <w:t>Datum prejema: 05.05.2021   15:04</w:t>
      </w:r>
    </w:p>
    <w:p w:rsidR="007B6E0D" w:rsidRPr="007B6E0D" w:rsidRDefault="007B6E0D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7B6E0D" w:rsidRPr="007B6E0D" w:rsidRDefault="007B6E0D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7B6E0D">
        <w:rPr>
          <w:rFonts w:ascii="Tahoma" w:hAnsi="Tahoma" w:cs="Tahoma"/>
          <w:color w:val="333333"/>
          <w:sz w:val="22"/>
          <w:szCs w:val="22"/>
        </w:rPr>
        <w:t>Prosimo, da naročnik določi fiksno ceno za zaporo ceste za vse ponudnike, kot je to že praksa naročnika.</w:t>
      </w:r>
      <w:r w:rsidRPr="007B6E0D">
        <w:rPr>
          <w:rFonts w:ascii="Tahoma" w:hAnsi="Tahoma" w:cs="Tahoma"/>
          <w:color w:val="333333"/>
          <w:sz w:val="22"/>
          <w:szCs w:val="22"/>
        </w:rPr>
        <w:br/>
      </w:r>
      <w:r w:rsidRPr="007B6E0D">
        <w:rPr>
          <w:rFonts w:ascii="Tahoma" w:hAnsi="Tahoma" w:cs="Tahoma"/>
          <w:color w:val="333333"/>
          <w:sz w:val="22"/>
          <w:szCs w:val="22"/>
        </w:rPr>
        <w:br/>
        <w:t xml:space="preserve">Prav tako bi bilo smiselno, da se določi fiksna cena za projektantski in </w:t>
      </w:r>
      <w:proofErr w:type="spellStart"/>
      <w:r w:rsidRPr="007B6E0D">
        <w:rPr>
          <w:rFonts w:ascii="Tahoma" w:hAnsi="Tahoma" w:cs="Tahoma"/>
          <w:color w:val="333333"/>
          <w:sz w:val="22"/>
          <w:szCs w:val="22"/>
        </w:rPr>
        <w:t>geotehnični</w:t>
      </w:r>
      <w:proofErr w:type="spellEnd"/>
      <w:r w:rsidRPr="007B6E0D">
        <w:rPr>
          <w:rFonts w:ascii="Tahoma" w:hAnsi="Tahoma" w:cs="Tahoma"/>
          <w:color w:val="333333"/>
          <w:sz w:val="22"/>
          <w:szCs w:val="22"/>
        </w:rPr>
        <w:t xml:space="preserve"> nadzor, glede na to, da ste zraven opisa postavk napisali, da se obračun izvede po dokazljivih dejanskih stroških.</w:t>
      </w:r>
      <w:r w:rsidRPr="007B6E0D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E813F4" w:rsidRPr="007B6E0D" w:rsidRDefault="00E813F4" w:rsidP="007B6E0D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12563" w:rsidRPr="00C85C7E" w:rsidRDefault="00B12563" w:rsidP="00B12563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C85C7E">
        <w:rPr>
          <w:rFonts w:ascii="Tahoma" w:hAnsi="Tahoma" w:cs="Tahoma"/>
          <w:sz w:val="22"/>
          <w:szCs w:val="22"/>
          <w:shd w:val="clear" w:color="auto" w:fill="FFFFFF"/>
        </w:rPr>
        <w:t xml:space="preserve">Trajanje in načini izvajanja del oziroma tip omejitev prometa oziroma začasne prometne ureditve je odvisen od tehnologije s katero izvajalec pristopi k izvedbi del. Iz tega razloga naročnik ne more definirati vrednost potrebnih »zapor ceste«, ker je slednja različna glede na izbrano tehnologijo izvedbe del in </w:t>
      </w:r>
      <w:r>
        <w:rPr>
          <w:rFonts w:ascii="Tahoma" w:hAnsi="Tahoma" w:cs="Tahoma"/>
          <w:sz w:val="22"/>
          <w:szCs w:val="22"/>
          <w:shd w:val="clear" w:color="auto" w:fill="FFFFFF"/>
        </w:rPr>
        <w:t>predvsem</w:t>
      </w:r>
      <w:r w:rsidRPr="00C85C7E">
        <w:rPr>
          <w:rFonts w:ascii="Tahoma" w:hAnsi="Tahoma" w:cs="Tahoma"/>
          <w:sz w:val="22"/>
          <w:szCs w:val="22"/>
          <w:shd w:val="clear" w:color="auto" w:fill="FFFFFF"/>
        </w:rPr>
        <w:t xml:space="preserve"> glede na različno hitrost napredovanja del.</w:t>
      </w:r>
    </w:p>
    <w:p w:rsidR="00B12563" w:rsidRDefault="00B12563" w:rsidP="00B12563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C85C7E">
        <w:rPr>
          <w:rFonts w:ascii="Tahoma" w:hAnsi="Tahoma" w:cs="Tahoma"/>
          <w:sz w:val="22"/>
          <w:szCs w:val="22"/>
          <w:shd w:val="clear" w:color="auto" w:fill="FFFFFF"/>
        </w:rPr>
        <w:t xml:space="preserve">Začasna prometna ureditev je razvidna iz elaborata, ki </w:t>
      </w:r>
      <w:r>
        <w:rPr>
          <w:rFonts w:ascii="Tahoma" w:hAnsi="Tahoma" w:cs="Tahoma"/>
          <w:sz w:val="22"/>
          <w:szCs w:val="22"/>
          <w:shd w:val="clear" w:color="auto" w:fill="FFFFFF"/>
        </w:rPr>
        <w:t>ga prilagamo kot dopolnilo k</w:t>
      </w:r>
      <w:r w:rsidRPr="00C85C7E">
        <w:rPr>
          <w:rFonts w:ascii="Tahoma" w:hAnsi="Tahoma" w:cs="Tahoma"/>
          <w:sz w:val="22"/>
          <w:szCs w:val="22"/>
          <w:shd w:val="clear" w:color="auto" w:fill="FFFFFF"/>
        </w:rPr>
        <w:t xml:space="preserve"> specifikaciji naročila.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Objavlja se tudi korigirana Navodila za pripravo ponudbe.</w:t>
      </w:r>
    </w:p>
    <w:p w:rsidR="00B12563" w:rsidRPr="00606BD7" w:rsidRDefault="00B12563" w:rsidP="00B12563">
      <w:pPr>
        <w:widowControl w:val="0"/>
        <w:spacing w:before="60" w:line="254" w:lineRule="atLeast"/>
        <w:rPr>
          <w:sz w:val="22"/>
          <w:szCs w:val="22"/>
        </w:rPr>
      </w:pPr>
    </w:p>
    <w:p w:rsidR="00B12563" w:rsidRPr="00606BD7" w:rsidRDefault="00B12563" w:rsidP="00B12563">
      <w:pPr>
        <w:pStyle w:val="EndnoteText"/>
        <w:jc w:val="both"/>
        <w:rPr>
          <w:rFonts w:ascii="Tahoma" w:hAnsi="Tahoma" w:cs="Tahoma"/>
          <w:sz w:val="22"/>
        </w:rPr>
      </w:pPr>
      <w:r w:rsidRPr="00606BD7">
        <w:rPr>
          <w:rFonts w:ascii="Tahoma" w:hAnsi="Tahoma" w:cs="Tahoma"/>
          <w:sz w:val="22"/>
        </w:rPr>
        <w:t xml:space="preserve">Naročnik </w:t>
      </w:r>
      <w:r>
        <w:rPr>
          <w:rFonts w:ascii="Tahoma" w:hAnsi="Tahoma" w:cs="Tahoma"/>
          <w:sz w:val="22"/>
        </w:rPr>
        <w:t xml:space="preserve">je mnenja da ni potrebno posegati v poslovna in tudi tržna razmerja med posameznimi gospodarskimi subjekti, ki sodelujejo pri ponudbah in posledično ne bo spreminjal popisa del za projektantski in </w:t>
      </w:r>
      <w:proofErr w:type="spellStart"/>
      <w:r>
        <w:rPr>
          <w:rFonts w:ascii="Tahoma" w:hAnsi="Tahoma" w:cs="Tahoma"/>
          <w:sz w:val="22"/>
        </w:rPr>
        <w:t>geotehnični</w:t>
      </w:r>
      <w:proofErr w:type="spellEnd"/>
      <w:r>
        <w:rPr>
          <w:rFonts w:ascii="Tahoma" w:hAnsi="Tahoma" w:cs="Tahoma"/>
          <w:sz w:val="22"/>
        </w:rPr>
        <w:t xml:space="preserve"> nadzor. Z namenom odprave nejasnosti se objavlja korigiran popis del za navedeni dve postavki.</w:t>
      </w:r>
    </w:p>
    <w:p w:rsidR="004B1DAA" w:rsidRPr="004B1DAA" w:rsidRDefault="004B1DAA" w:rsidP="004B1DAA">
      <w:pPr>
        <w:pStyle w:val="ListParagraph"/>
        <w:ind w:left="360"/>
        <w:rPr>
          <w:sz w:val="22"/>
        </w:rPr>
      </w:pPr>
      <w:bookmarkStart w:id="0" w:name="_GoBack"/>
      <w:bookmarkEnd w:id="0"/>
    </w:p>
    <w:p w:rsidR="00E813F4" w:rsidRPr="00A9293C" w:rsidRDefault="00E813F4" w:rsidP="004B1DAA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8A" w:rsidRDefault="0028658A">
      <w:r>
        <w:separator/>
      </w:r>
    </w:p>
  </w:endnote>
  <w:endnote w:type="continuationSeparator" w:id="0">
    <w:p w:rsidR="0028658A" w:rsidRDefault="0028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8A" w:rsidRDefault="0028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865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8658A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58A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58A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8A" w:rsidRDefault="0028658A">
      <w:r>
        <w:separator/>
      </w:r>
    </w:p>
  </w:footnote>
  <w:footnote w:type="continuationSeparator" w:id="0">
    <w:p w:rsidR="0028658A" w:rsidRDefault="0028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8A" w:rsidRDefault="0028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8A" w:rsidRDefault="00286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658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8A"/>
    <w:rsid w:val="000646A9"/>
    <w:rsid w:val="001836BB"/>
    <w:rsid w:val="00216549"/>
    <w:rsid w:val="002507C2"/>
    <w:rsid w:val="0028658A"/>
    <w:rsid w:val="00290551"/>
    <w:rsid w:val="003133A6"/>
    <w:rsid w:val="003560E2"/>
    <w:rsid w:val="003579C0"/>
    <w:rsid w:val="00424A5A"/>
    <w:rsid w:val="0044323F"/>
    <w:rsid w:val="004B1DAA"/>
    <w:rsid w:val="004B34B5"/>
    <w:rsid w:val="00556816"/>
    <w:rsid w:val="00634B0D"/>
    <w:rsid w:val="00637BE6"/>
    <w:rsid w:val="007B6E0D"/>
    <w:rsid w:val="009B1FD9"/>
    <w:rsid w:val="00A05C73"/>
    <w:rsid w:val="00A17575"/>
    <w:rsid w:val="00AD3747"/>
    <w:rsid w:val="00B12563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543348"/>
  <w15:chartTrackingRefBased/>
  <w15:docId w15:val="{F77967D6-4416-46D1-8097-C95433D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2021-05-05T13:13:00Z</dcterms:created>
  <dcterms:modified xsi:type="dcterms:W3CDTF">2021-05-07T09:22:00Z</dcterms:modified>
</cp:coreProperties>
</file>